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C1F5F4" w14:textId="77777777" w:rsidR="00543E06" w:rsidRPr="00543E06" w:rsidRDefault="00543E06" w:rsidP="00543E06">
      <w:pPr>
        <w:adjustRightInd/>
        <w:jc w:val="left"/>
        <w:outlineLvl w:val="5"/>
        <w:rPr>
          <w:rFonts w:eastAsia="Times New Roman"/>
          <w:b/>
          <w:sz w:val="36"/>
          <w:szCs w:val="36"/>
          <w:lang w:val="en-US" w:eastAsia="en-US"/>
        </w:rPr>
      </w:pPr>
      <w:bookmarkStart w:id="0" w:name="_Toc357099939"/>
      <w:bookmarkStart w:id="1" w:name="_GoBack"/>
      <w:bookmarkEnd w:id="1"/>
    </w:p>
    <w:p w14:paraId="5005899A" w14:textId="77777777" w:rsidR="00A63BF9" w:rsidRDefault="00746DF4" w:rsidP="00813EF0">
      <w:pPr>
        <w:keepNext/>
        <w:jc w:val="left"/>
        <w:outlineLvl w:val="1"/>
        <w:rPr>
          <w:rFonts w:eastAsia="Calibri"/>
          <w:b/>
          <w:sz w:val="36"/>
          <w:szCs w:val="36"/>
        </w:rPr>
      </w:pPr>
      <w:r>
        <w:rPr>
          <w:rFonts w:eastAsia="Calibri"/>
          <w:b/>
          <w:sz w:val="36"/>
          <w:szCs w:val="36"/>
        </w:rPr>
        <w:t>Call-Off Schedule 15</w:t>
      </w:r>
      <w:r w:rsidR="00543E06">
        <w:rPr>
          <w:rFonts w:eastAsia="Calibri"/>
          <w:b/>
          <w:sz w:val="36"/>
          <w:szCs w:val="36"/>
        </w:rPr>
        <w:t xml:space="preserve"> (Call-Off Contract Management)</w:t>
      </w:r>
    </w:p>
    <w:p w14:paraId="7F7CB6FA" w14:textId="77777777" w:rsidR="008B1870" w:rsidRPr="00543E06" w:rsidRDefault="008B1870" w:rsidP="00813EF0">
      <w:pPr>
        <w:keepNext/>
        <w:jc w:val="left"/>
        <w:outlineLvl w:val="1"/>
        <w:rPr>
          <w:rFonts w:eastAsia="STZhongsong"/>
          <w:b/>
          <w:caps/>
          <w:sz w:val="24"/>
          <w:szCs w:val="24"/>
          <w:lang w:eastAsia="zh-CN"/>
        </w:rPr>
      </w:pPr>
    </w:p>
    <w:p w14:paraId="6E849372" w14:textId="77777777"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14:paraId="6F197BB7"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14:paraId="4FF7A203" w14:textId="77777777" w:rsidTr="0000099A">
        <w:tc>
          <w:tcPr>
            <w:tcW w:w="2739" w:type="dxa"/>
            <w:shd w:val="clear" w:color="auto" w:fill="auto"/>
          </w:tcPr>
          <w:p w14:paraId="3FAC0CB3" w14:textId="77777777" w:rsidR="00753CB2" w:rsidRPr="00B700CD" w:rsidRDefault="00753CB2" w:rsidP="00813EF0">
            <w:pPr>
              <w:tabs>
                <w:tab w:val="num" w:pos="720"/>
              </w:tabs>
              <w:adjustRightInd/>
              <w:spacing w:after="120" w:line="276" w:lineRule="auto"/>
              <w:ind w:left="720" w:hanging="360"/>
              <w:jc w:val="left"/>
              <w:rPr>
                <w:rFonts w:eastAsia="Calibri"/>
                <w:b/>
                <w:sz w:val="24"/>
                <w:szCs w:val="24"/>
                <w:highlight w:val="yellow"/>
              </w:rPr>
            </w:pPr>
            <w:r w:rsidRPr="00B700CD">
              <w:rPr>
                <w:rFonts w:eastAsia="Calibri"/>
                <w:b/>
                <w:sz w:val="24"/>
                <w:szCs w:val="24"/>
                <w:highlight w:val="yellow"/>
              </w:rPr>
              <w:t>"Operational Board"</w:t>
            </w:r>
          </w:p>
        </w:tc>
        <w:tc>
          <w:tcPr>
            <w:tcW w:w="6170" w:type="dxa"/>
            <w:shd w:val="clear" w:color="auto" w:fill="auto"/>
          </w:tcPr>
          <w:p w14:paraId="466FF430" w14:textId="77777777" w:rsidR="00753CB2" w:rsidRPr="00B700CD" w:rsidRDefault="00753CB2" w:rsidP="00813EF0">
            <w:pPr>
              <w:tabs>
                <w:tab w:val="left" w:pos="-9"/>
                <w:tab w:val="num" w:pos="720"/>
              </w:tabs>
              <w:adjustRightInd/>
              <w:spacing w:after="120" w:line="276" w:lineRule="auto"/>
              <w:ind w:left="720" w:hanging="360"/>
              <w:jc w:val="left"/>
              <w:rPr>
                <w:rFonts w:eastAsia="Calibri"/>
                <w:sz w:val="24"/>
                <w:szCs w:val="24"/>
                <w:highlight w:val="yellow"/>
              </w:rPr>
            </w:pPr>
            <w:r w:rsidRPr="00B700CD">
              <w:rPr>
                <w:rFonts w:eastAsia="Calibri"/>
                <w:sz w:val="24"/>
                <w:szCs w:val="24"/>
                <w:highlight w:val="yellow"/>
              </w:rPr>
              <w:t xml:space="preserve">the board established in accordance with paragraph </w:t>
            </w:r>
            <w:r w:rsidRPr="00B700CD">
              <w:rPr>
                <w:rFonts w:eastAsia="Calibri"/>
                <w:sz w:val="24"/>
                <w:szCs w:val="24"/>
                <w:highlight w:val="yellow"/>
              </w:rPr>
              <w:fldChar w:fldCharType="begin"/>
            </w:r>
            <w:r w:rsidRPr="00B700CD">
              <w:rPr>
                <w:rFonts w:eastAsia="Calibri"/>
                <w:sz w:val="24"/>
                <w:szCs w:val="24"/>
                <w:highlight w:val="yellow"/>
              </w:rPr>
              <w:instrText xml:space="preserve"> REF _Ref492656750 \r \h  \* MERGEFORMAT </w:instrText>
            </w:r>
            <w:r w:rsidRPr="00B700CD">
              <w:rPr>
                <w:rFonts w:eastAsia="Calibri"/>
                <w:sz w:val="24"/>
                <w:szCs w:val="24"/>
                <w:highlight w:val="yellow"/>
              </w:rPr>
            </w:r>
            <w:r w:rsidRPr="00B700CD">
              <w:rPr>
                <w:rFonts w:eastAsia="Calibri"/>
                <w:sz w:val="24"/>
                <w:szCs w:val="24"/>
                <w:highlight w:val="yellow"/>
              </w:rPr>
              <w:fldChar w:fldCharType="separate"/>
            </w:r>
            <w:r w:rsidR="00A77684" w:rsidRPr="00B700CD">
              <w:rPr>
                <w:rFonts w:eastAsia="Calibri"/>
                <w:sz w:val="24"/>
                <w:szCs w:val="24"/>
                <w:highlight w:val="yellow"/>
              </w:rPr>
              <w:t>4.</w:t>
            </w:r>
            <w:r w:rsidRPr="00B700CD">
              <w:rPr>
                <w:rFonts w:eastAsia="Calibri"/>
                <w:sz w:val="24"/>
                <w:szCs w:val="24"/>
                <w:highlight w:val="yellow"/>
              </w:rPr>
              <w:t>1</w:t>
            </w:r>
            <w:r w:rsidRPr="00B700CD">
              <w:rPr>
                <w:rFonts w:eastAsia="Calibri"/>
                <w:sz w:val="24"/>
                <w:szCs w:val="24"/>
                <w:highlight w:val="yellow"/>
              </w:rPr>
              <w:fldChar w:fldCharType="end"/>
            </w:r>
            <w:r w:rsidRPr="00B700CD">
              <w:rPr>
                <w:rFonts w:eastAsia="Calibri"/>
                <w:sz w:val="24"/>
                <w:szCs w:val="24"/>
                <w:highlight w:val="yellow"/>
              </w:rPr>
              <w:t xml:space="preserve"> of this Schedule;</w:t>
            </w:r>
          </w:p>
        </w:tc>
      </w:tr>
      <w:tr w:rsidR="00753CB2" w:rsidRPr="00543E06" w14:paraId="303B105A" w14:textId="77777777" w:rsidTr="0000099A">
        <w:tc>
          <w:tcPr>
            <w:tcW w:w="2739" w:type="dxa"/>
            <w:shd w:val="clear" w:color="auto" w:fill="auto"/>
          </w:tcPr>
          <w:p w14:paraId="6A0F3F5A"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14:paraId="65FE5FF8" w14:textId="77777777"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14:paraId="6AB4AC18" w14:textId="77777777"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14:paraId="64EF1B4B"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14:paraId="43F6FAD7"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2" w:name="_Ref492661229"/>
      <w:bookmarkStart w:id="3"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2"/>
      <w:bookmarkEnd w:id="3"/>
    </w:p>
    <w:p w14:paraId="7501E7D6"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14:paraId="652805D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14:paraId="4B75B258" w14:textId="77777777" w:rsidR="00753CB2" w:rsidRPr="00543E06" w:rsidRDefault="005324D7" w:rsidP="00813EF0">
      <w:pPr>
        <w:pStyle w:val="GPSL1CLAUS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7D47C99C"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Supplier's Contract Manager's shall be:</w:t>
      </w:r>
    </w:p>
    <w:p w14:paraId="460E583D"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14:paraId="2F5BEBA9"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746C8184"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14:paraId="01B19DF7"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14:paraId="1605CDB2"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77B0EBA5"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lastRenderedPageBreak/>
        <w:t>Receipt of communication from the Supplier's Contract Manager's by the Buyer does not absolve the Supplier from its responsibilities, obligations or liabilities under the Contract.</w:t>
      </w:r>
    </w:p>
    <w:p w14:paraId="594D22CF" w14:textId="77777777" w:rsidR="00753CB2" w:rsidRPr="00543E06" w:rsidRDefault="00753CB2" w:rsidP="00813EF0">
      <w:pPr>
        <w:adjustRightInd/>
        <w:jc w:val="left"/>
        <w:outlineLvl w:val="5"/>
        <w:rPr>
          <w:rFonts w:eastAsia="Times New Roman"/>
          <w:sz w:val="24"/>
          <w:szCs w:val="24"/>
          <w:lang w:val="en-US" w:eastAsia="en-US"/>
        </w:rPr>
      </w:pPr>
    </w:p>
    <w:p w14:paraId="7F3D416D" w14:textId="77777777" w:rsidR="00753CB2" w:rsidRPr="00B700CD"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highlight w:val="yellow"/>
        </w:rPr>
      </w:pPr>
      <w:r w:rsidRPr="00B700CD">
        <w:rPr>
          <w:rFonts w:ascii="Arial" w:hAnsi="Arial" w:cs="Arial"/>
          <w:caps w:val="0"/>
          <w:sz w:val="24"/>
          <w:szCs w:val="24"/>
          <w:highlight w:val="yellow"/>
        </w:rPr>
        <w:t>Role of the Operational Board</w:t>
      </w:r>
    </w:p>
    <w:p w14:paraId="6C03F7D1" w14:textId="77777777" w:rsidR="00753CB2" w:rsidRPr="00B700CD"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B700CD">
        <w:rPr>
          <w:rFonts w:ascii="Arial" w:hAnsi="Arial" w:cs="Arial"/>
          <w:sz w:val="24"/>
          <w:szCs w:val="24"/>
          <w:highlight w:val="yellow"/>
        </w:rPr>
        <w:t xml:space="preserve"> The Operational Board shall be established by the Buyer for the purposes of this Contract on which the Supplier and the Buyer shall be represented.</w:t>
      </w:r>
    </w:p>
    <w:p w14:paraId="6F470BA1" w14:textId="77777777" w:rsidR="00753CB2" w:rsidRPr="00B700CD"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B700CD">
        <w:rPr>
          <w:rFonts w:ascii="Arial" w:hAnsi="Arial" w:cs="Arial"/>
          <w:sz w:val="24"/>
          <w:szCs w:val="24"/>
          <w:highlight w:val="yellow"/>
        </w:rPr>
        <w:t xml:space="preserve"> The Operational Board members, frequency and location of board meetings and planned start date by which the board shall be established are set out in the Order Form.</w:t>
      </w:r>
    </w:p>
    <w:p w14:paraId="1395FF53" w14:textId="77777777" w:rsidR="00753CB2" w:rsidRPr="00B700CD"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B700CD">
        <w:rPr>
          <w:rFonts w:ascii="Arial" w:hAnsi="Arial" w:cs="Arial"/>
          <w:sz w:val="24"/>
          <w:szCs w:val="24"/>
          <w:highlight w:val="yellow"/>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7C70D2EA" w14:textId="77777777" w:rsidR="00753CB2" w:rsidRPr="00B700CD"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B700CD">
        <w:rPr>
          <w:rFonts w:ascii="Arial" w:hAnsi="Arial" w:cs="Arial"/>
          <w:sz w:val="24"/>
          <w:szCs w:val="24"/>
          <w:highlight w:val="yellow"/>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0F584AF4" w14:textId="77777777" w:rsidR="00753CB2" w:rsidRPr="00B700CD"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highlight w:val="yellow"/>
        </w:rPr>
      </w:pPr>
      <w:r w:rsidRPr="00B700CD">
        <w:rPr>
          <w:rFonts w:ascii="Arial" w:hAnsi="Arial" w:cs="Arial"/>
          <w:sz w:val="24"/>
          <w:szCs w:val="24"/>
          <w:highlight w:val="yellow"/>
        </w:rPr>
        <w:t xml:space="preserve"> The purpose of the Operational Board meetings will be to review the Supplier’s performance under this Contract. The agenda for each meeting shall be set by the Buyer and communicated to the Supplier in advance of that meeting.</w:t>
      </w:r>
    </w:p>
    <w:p w14:paraId="49403481" w14:textId="77777777" w:rsidR="00753CB2" w:rsidRPr="00543E06" w:rsidRDefault="005324D7" w:rsidP="00813EF0">
      <w:pPr>
        <w:pStyle w:val="GPSL1SCHEDULEHeading"/>
        <w:keepNext/>
        <w:numPr>
          <w:ilvl w:val="0"/>
          <w:numId w:val="62"/>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14:paraId="3F2B05BD" w14:textId="77777777" w:rsidR="00753CB2" w:rsidRPr="00543E06" w:rsidRDefault="00753CB2" w:rsidP="00813EF0">
      <w:pPr>
        <w:pStyle w:val="GPSL2Numbered"/>
        <w:numPr>
          <w:ilvl w:val="1"/>
          <w:numId w:val="62"/>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14:paraId="70880B6F" w14:textId="77777777" w:rsidR="00753CB2" w:rsidRPr="00543E06" w:rsidRDefault="00753CB2" w:rsidP="00813EF0">
      <w:pPr>
        <w:pStyle w:val="GPSL2Numbered"/>
        <w:keepNext/>
        <w:numPr>
          <w:ilvl w:val="1"/>
          <w:numId w:val="62"/>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14:paraId="2E2B911E"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14:paraId="586B0609" w14:textId="77777777" w:rsidR="00753CB2" w:rsidRPr="00543E06" w:rsidRDefault="00753CB2" w:rsidP="00813EF0">
      <w:pPr>
        <w:pStyle w:val="GPSL3numberedclause"/>
        <w:numPr>
          <w:ilvl w:val="2"/>
          <w:numId w:val="62"/>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14:paraId="1CD374D1" w14:textId="77777777" w:rsidR="00753CB2" w:rsidRPr="00543E06" w:rsidRDefault="00753CB2" w:rsidP="00813EF0">
      <w:pPr>
        <w:pStyle w:val="GPSL3numberedclause"/>
        <w:numPr>
          <w:ilvl w:val="2"/>
          <w:numId w:val="62"/>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14:paraId="77353ED4" w14:textId="77777777" w:rsidR="00753CB2" w:rsidRPr="00543E06" w:rsidRDefault="00753CB2" w:rsidP="00813EF0">
      <w:pPr>
        <w:pStyle w:val="GPSL2Numbered"/>
        <w:numPr>
          <w:ilvl w:val="1"/>
          <w:numId w:val="62"/>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14:paraId="50B8411A" w14:textId="77777777" w:rsidR="00753CB2" w:rsidRPr="00543E06" w:rsidRDefault="00753CB2" w:rsidP="00813EF0">
      <w:pPr>
        <w:pStyle w:val="GPSL2Numbered"/>
        <w:numPr>
          <w:ilvl w:val="1"/>
          <w:numId w:val="62"/>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14:paraId="47A66679" w14:textId="77777777" w:rsidR="00753CB2" w:rsidRPr="00543E06" w:rsidRDefault="00753CB2" w:rsidP="00813EF0">
      <w:pPr>
        <w:pStyle w:val="BodyText"/>
        <w:jc w:val="left"/>
        <w:rPr>
          <w:rFonts w:ascii="Arial" w:hAnsi="Arial" w:cs="Arial"/>
          <w:sz w:val="24"/>
          <w:szCs w:val="24"/>
          <w:lang w:val="en-GB"/>
        </w:rPr>
      </w:pPr>
    </w:p>
    <w:p w14:paraId="55B61C9A" w14:textId="77777777"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sidRPr="00B700CD">
        <w:rPr>
          <w:rFonts w:eastAsia="Calibri"/>
          <w:b/>
          <w:sz w:val="36"/>
          <w:szCs w:val="36"/>
          <w:highlight w:val="yellow"/>
        </w:rPr>
        <w:lastRenderedPageBreak/>
        <w:t>Annex: Contract Boards</w:t>
      </w:r>
    </w:p>
    <w:p w14:paraId="46742852" w14:textId="77777777" w:rsidR="00753CB2" w:rsidRPr="00543E06" w:rsidRDefault="00753CB2" w:rsidP="00813EF0">
      <w:pPr>
        <w:pStyle w:val="MarginText"/>
        <w:tabs>
          <w:tab w:val="left" w:pos="360"/>
        </w:tabs>
        <w:jc w:val="left"/>
        <w:rPr>
          <w:rFonts w:ascii="Arial" w:hAnsi="Arial" w:cs="Arial"/>
          <w:sz w:val="24"/>
          <w:szCs w:val="24"/>
        </w:rPr>
      </w:pPr>
      <w:r w:rsidRPr="00B700CD">
        <w:rPr>
          <w:rFonts w:ascii="Arial" w:hAnsi="Arial" w:cs="Arial"/>
          <w:sz w:val="24"/>
          <w:szCs w:val="24"/>
          <w:highlight w:val="yellow"/>
        </w:rPr>
        <w:t>The Parties agree to operate the following boards at the locations and at the frequencies set out below:</w:t>
      </w:r>
    </w:p>
    <w:p w14:paraId="713BAC99" w14:textId="77777777" w:rsidR="00753CB2" w:rsidRPr="00543E06" w:rsidRDefault="00753CB2" w:rsidP="00813EF0">
      <w:pPr>
        <w:adjustRightInd/>
        <w:spacing w:after="200" w:line="276" w:lineRule="auto"/>
        <w:ind w:left="360"/>
        <w:jc w:val="left"/>
        <w:rPr>
          <w:rFonts w:eastAsia="Calibri"/>
          <w:sz w:val="24"/>
          <w:szCs w:val="24"/>
        </w:rPr>
      </w:pPr>
      <w:r w:rsidRPr="00543E06">
        <w:rPr>
          <w:rFonts w:eastAsia="Calibri"/>
          <w:sz w:val="24"/>
          <w:szCs w:val="24"/>
        </w:rPr>
        <w:t>[</w:t>
      </w:r>
      <w:r w:rsidRPr="00543E06">
        <w:rPr>
          <w:rFonts w:eastAsia="Calibri"/>
          <w:b/>
          <w:sz w:val="24"/>
          <w:szCs w:val="24"/>
          <w:highlight w:val="yellow"/>
        </w:rPr>
        <w:t>Guidance note</w:t>
      </w:r>
      <w:r w:rsidRPr="00543E06">
        <w:rPr>
          <w:rFonts w:eastAsia="Calibri"/>
          <w:sz w:val="24"/>
          <w:szCs w:val="24"/>
          <w:highlight w:val="yellow"/>
        </w:rPr>
        <w:t xml:space="preserve">: </w:t>
      </w:r>
      <w:r w:rsidRPr="00543E06">
        <w:rPr>
          <w:rFonts w:eastAsia="Calibri"/>
          <w:sz w:val="24"/>
          <w:szCs w:val="24"/>
        </w:rPr>
        <w:t>Details of additional boards to be inserted.]</w:t>
      </w:r>
    </w:p>
    <w:p w14:paraId="19596F7B" w14:textId="77777777" w:rsidR="006D162C" w:rsidRDefault="006D162C" w:rsidP="00813EF0">
      <w:pPr>
        <w:adjustRightInd/>
        <w:jc w:val="left"/>
        <w:outlineLvl w:val="5"/>
        <w:rPr>
          <w:rFonts w:eastAsia="Times New Roman"/>
          <w:sz w:val="24"/>
          <w:szCs w:val="24"/>
          <w:lang w:val="en-US" w:eastAsia="en-US"/>
        </w:rPr>
        <w:sectPr w:rsidR="006D162C" w:rsidSect="00543E06">
          <w:headerReference w:type="default" r:id="rId8"/>
          <w:footerReference w:type="default" r:id="rId9"/>
          <w:footerReference w:type="first" r:id="rId10"/>
          <w:pgSz w:w="11907" w:h="16840" w:code="9"/>
          <w:pgMar w:top="1440" w:right="1440" w:bottom="1440" w:left="1440" w:header="709" w:footer="709" w:gutter="0"/>
          <w:paperSrc w:first="15" w:other="15"/>
          <w:pgNumType w:start="1"/>
          <w:cols w:space="720"/>
          <w:docGrid w:linePitch="272"/>
        </w:sectPr>
      </w:pPr>
      <w:bookmarkStart w:id="5" w:name="bmCompoundReference"/>
      <w:bookmarkStart w:id="6" w:name="bmCompoundReference_1"/>
      <w:bookmarkEnd w:id="0"/>
      <w:bookmarkEnd w:id="5"/>
      <w:bookmarkEnd w:id="6"/>
    </w:p>
    <w:p w14:paraId="17168BF1" w14:textId="77777777" w:rsidR="0016168C" w:rsidRPr="00543E06" w:rsidRDefault="0016168C" w:rsidP="00813EF0">
      <w:pPr>
        <w:adjustRightInd/>
        <w:jc w:val="left"/>
        <w:outlineLvl w:val="5"/>
        <w:rPr>
          <w:rFonts w:eastAsia="Times New Roman"/>
          <w:sz w:val="24"/>
          <w:szCs w:val="24"/>
          <w:lang w:val="en-US" w:eastAsia="en-US"/>
        </w:rPr>
      </w:pPr>
    </w:p>
    <w:sectPr w:rsidR="0016168C" w:rsidRPr="00543E06" w:rsidSect="00543E0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8D49A" w14:textId="77777777" w:rsidR="00FB7108" w:rsidRDefault="00FB7108">
      <w:r>
        <w:separator/>
      </w:r>
    </w:p>
  </w:endnote>
  <w:endnote w:type="continuationSeparator" w:id="0">
    <w:p w14:paraId="3EACC84C" w14:textId="77777777" w:rsidR="00FB7108" w:rsidRDefault="00FB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Arial Bold">
    <w:altName w:val="Arial"/>
    <w:panose1 w:val="020B0604020202020204"/>
    <w:charset w:val="00"/>
    <w:family w:val="auto"/>
    <w:notTrueType/>
    <w:pitch w:val="default"/>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AGBuchBQ-Regular">
    <w:altName w:val="Cambria"/>
    <w:panose1 w:val="020B0604020202020204"/>
    <w:charset w:val="4D"/>
    <w:family w:val="auto"/>
    <w:notTrueType/>
    <w:pitch w:val="default"/>
    <w:sig w:usb0="03000003" w:usb1="00000000" w:usb2="00000000" w:usb3="00000000" w:csb0="00000001" w:csb1="00000000"/>
  </w:font>
  <w:font w:name="STZhongsong">
    <w:panose1 w:val="02010600040101010101"/>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518FD" w14:textId="77777777" w:rsidR="00A72095" w:rsidRDefault="00A72095" w:rsidP="004E056F">
    <w:pPr>
      <w:tabs>
        <w:tab w:val="center" w:pos="4513"/>
        <w:tab w:val="right" w:pos="9026"/>
      </w:tabs>
      <w:rPr>
        <w:rFonts w:eastAsia="Calibri"/>
        <w:szCs w:val="22"/>
      </w:rPr>
    </w:pPr>
  </w:p>
  <w:p w14:paraId="671C6B1D" w14:textId="77777777"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E71B36">
      <w:rPr>
        <w:rFonts w:eastAsia="Calibri"/>
        <w:szCs w:val="22"/>
      </w:rPr>
      <w:t>6099</w:t>
    </w:r>
  </w:p>
  <w:p w14:paraId="48462322" w14:textId="372FB833"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EE0D54">
      <w:rPr>
        <w:noProof/>
      </w:rPr>
      <w:t>3</w:t>
    </w:r>
    <w:r w:rsidRPr="00543E06">
      <w:fldChar w:fldCharType="end"/>
    </w:r>
  </w:p>
  <w:p w14:paraId="45BEA2E6" w14:textId="77777777" w:rsidR="0016168C" w:rsidRPr="00543E06" w:rsidRDefault="00924068" w:rsidP="004E056F">
    <w:pPr>
      <w:tabs>
        <w:tab w:val="center" w:pos="4513"/>
        <w:tab w:val="right" w:pos="9026"/>
      </w:tabs>
      <w:rPr>
        <w:rFonts w:eastAsia="Calibri"/>
        <w:szCs w:val="22"/>
      </w:rPr>
    </w:pPr>
    <w: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4D288" w14:textId="77777777" w:rsidR="00813EF0" w:rsidRPr="005324D7" w:rsidRDefault="00813EF0" w:rsidP="00813EF0">
    <w:pPr>
      <w:tabs>
        <w:tab w:val="center" w:pos="4513"/>
        <w:tab w:val="right" w:pos="9026"/>
      </w:tabs>
      <w:rPr>
        <w:rFonts w:eastAsia="Calibri"/>
        <w:szCs w:val="22"/>
      </w:rPr>
    </w:pPr>
    <w:r w:rsidRPr="005324D7">
      <w:rPr>
        <w:rFonts w:eastAsia="Calibri"/>
        <w:szCs w:val="22"/>
      </w:rPr>
      <w:t>Framework Ref: RM</w:t>
    </w:r>
    <w:r w:rsidRPr="005324D7">
      <w:rPr>
        <w:rFonts w:eastAsia="Calibri"/>
        <w:szCs w:val="22"/>
      </w:rPr>
      <w:tab/>
      <w:t xml:space="preserve">                                           </w:t>
    </w:r>
  </w:p>
  <w:p w14:paraId="516D8086" w14:textId="77777777"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14:paraId="70E87BB4" w14:textId="77777777"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14E30D" w14:textId="77777777" w:rsidR="00FB7108" w:rsidRDefault="00FB7108">
      <w:r>
        <w:separator/>
      </w:r>
    </w:p>
  </w:footnote>
  <w:footnote w:type="continuationSeparator" w:id="0">
    <w:p w14:paraId="27DCB5A2" w14:textId="77777777" w:rsidR="00FB7108" w:rsidRDefault="00FB7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CB9DF" w14:textId="77777777" w:rsidR="0016168C" w:rsidRPr="005324D7" w:rsidRDefault="0016168C" w:rsidP="00543E06">
    <w:pPr>
      <w:pStyle w:val="Header"/>
      <w:jc w:val="left"/>
      <w:rPr>
        <w:sz w:val="20"/>
        <w:szCs w:val="22"/>
      </w:rPr>
    </w:pPr>
    <w:r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Pr="005324D7">
      <w:rPr>
        <w:b/>
        <w:sz w:val="20"/>
        <w:szCs w:val="22"/>
      </w:rPr>
      <w:t>)</w:t>
    </w:r>
  </w:p>
  <w:p w14:paraId="55A364CB" w14:textId="77777777" w:rsidR="005324D7" w:rsidRPr="005324D7" w:rsidRDefault="005324D7" w:rsidP="00543E06">
    <w:pPr>
      <w:pStyle w:val="Header"/>
      <w:jc w:val="left"/>
      <w:rPr>
        <w:sz w:val="20"/>
        <w:szCs w:val="22"/>
      </w:rPr>
    </w:pPr>
    <w:r w:rsidRPr="005324D7">
      <w:rPr>
        <w:sz w:val="20"/>
        <w:szCs w:val="22"/>
      </w:rPr>
      <w:t>Call-Off Ref:</w:t>
    </w:r>
  </w:p>
  <w:p w14:paraId="785EB634" w14:textId="7ABEA9AE" w:rsidR="0016168C" w:rsidRPr="005324D7" w:rsidRDefault="0016168C" w:rsidP="00543E06">
    <w:pPr>
      <w:pStyle w:val="Header"/>
      <w:jc w:val="left"/>
      <w:rPr>
        <w:rFonts w:ascii="Calibri" w:hAnsi="Calibri"/>
        <w:sz w:val="20"/>
        <w:szCs w:val="22"/>
      </w:rPr>
    </w:pPr>
    <w:r w:rsidRPr="005324D7">
      <w:rPr>
        <w:sz w:val="20"/>
        <w:szCs w:val="22"/>
      </w:rPr>
      <w:t>Crown Copyright 20</w:t>
    </w:r>
    <w:r w:rsidR="00EE0D54">
      <w:rPr>
        <w:sz w:val="20"/>
        <w:szCs w:val="22"/>
      </w:rPr>
      <w:t>21</w:t>
    </w:r>
  </w:p>
  <w:p w14:paraId="6480EFC2" w14:textId="77777777" w:rsidR="00813EF0" w:rsidRDefault="00813EF0" w:rsidP="00543E06">
    <w:pPr>
      <w:pStyle w:val="Header"/>
    </w:pPr>
    <w:bookmarkStart w:id="4" w:name="bmStrictlyPrivateLine"/>
    <w:bookmarkEnd w:id="4"/>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8"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19"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0"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2"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3"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4"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5"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6"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7"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8"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29"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0"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2"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3"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4"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6"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7"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39"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0"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1"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2"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3"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4"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5"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6"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7"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49"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0"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1"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2"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3"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4"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6"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7"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8"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0"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1"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2"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3"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4"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5"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6"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2"/>
  </w:num>
  <w:num w:numId="2">
    <w:abstractNumId w:val="1"/>
  </w:num>
  <w:num w:numId="3">
    <w:abstractNumId w:val="0"/>
  </w:num>
  <w:num w:numId="4">
    <w:abstractNumId w:val="27"/>
  </w:num>
  <w:num w:numId="5">
    <w:abstractNumId w:val="6"/>
  </w:num>
  <w:num w:numId="6">
    <w:abstractNumId w:val="46"/>
  </w:num>
  <w:num w:numId="7">
    <w:abstractNumId w:val="20"/>
  </w:num>
  <w:num w:numId="8">
    <w:abstractNumId w:val="55"/>
  </w:num>
  <w:num w:numId="9">
    <w:abstractNumId w:val="63"/>
  </w:num>
  <w:num w:numId="10">
    <w:abstractNumId w:val="58"/>
  </w:num>
  <w:num w:numId="11">
    <w:abstractNumId w:val="38"/>
  </w:num>
  <w:num w:numId="12">
    <w:abstractNumId w:val="57"/>
  </w:num>
  <w:num w:numId="13">
    <w:abstractNumId w:val="36"/>
  </w:num>
  <w:num w:numId="14">
    <w:abstractNumId w:val="29"/>
  </w:num>
  <w:num w:numId="15">
    <w:abstractNumId w:val="51"/>
  </w:num>
  <w:num w:numId="16">
    <w:abstractNumId w:val="39"/>
  </w:num>
  <w:num w:numId="17">
    <w:abstractNumId w:val="62"/>
  </w:num>
  <w:num w:numId="18">
    <w:abstractNumId w:val="41"/>
  </w:num>
  <w:num w:numId="19">
    <w:abstractNumId w:val="13"/>
  </w:num>
  <w:num w:numId="20">
    <w:abstractNumId w:val="10"/>
  </w:num>
  <w:num w:numId="21">
    <w:abstractNumId w:val="48"/>
  </w:num>
  <w:num w:numId="22">
    <w:abstractNumId w:val="33"/>
  </w:num>
  <w:num w:numId="23">
    <w:abstractNumId w:val="8"/>
  </w:num>
  <w:num w:numId="24">
    <w:abstractNumId w:val="60"/>
  </w:num>
  <w:num w:numId="25">
    <w:abstractNumId w:val="17"/>
  </w:num>
  <w:num w:numId="26">
    <w:abstractNumId w:val="30"/>
  </w:num>
  <w:num w:numId="27">
    <w:abstractNumId w:val="7"/>
  </w:num>
  <w:num w:numId="28">
    <w:abstractNumId w:val="37"/>
  </w:num>
  <w:num w:numId="29">
    <w:abstractNumId w:val="52"/>
  </w:num>
  <w:num w:numId="30">
    <w:abstractNumId w:val="26"/>
  </w:num>
  <w:num w:numId="31">
    <w:abstractNumId w:val="53"/>
  </w:num>
  <w:num w:numId="32">
    <w:abstractNumId w:val="11"/>
  </w:num>
  <w:num w:numId="33">
    <w:abstractNumId w:val="18"/>
  </w:num>
  <w:num w:numId="34">
    <w:abstractNumId w:val="12"/>
  </w:num>
  <w:num w:numId="35">
    <w:abstractNumId w:val="40"/>
  </w:num>
  <w:num w:numId="36">
    <w:abstractNumId w:val="43"/>
  </w:num>
  <w:num w:numId="37">
    <w:abstractNumId w:val="32"/>
  </w:num>
  <w:num w:numId="38">
    <w:abstractNumId w:val="14"/>
  </w:num>
  <w:num w:numId="39">
    <w:abstractNumId w:val="23"/>
  </w:num>
  <w:num w:numId="40">
    <w:abstractNumId w:val="28"/>
  </w:num>
  <w:num w:numId="41">
    <w:abstractNumId w:val="56"/>
  </w:num>
  <w:num w:numId="42">
    <w:abstractNumId w:val="44"/>
  </w:num>
  <w:num w:numId="43">
    <w:abstractNumId w:val="9"/>
  </w:num>
  <w:num w:numId="44">
    <w:abstractNumId w:val="42"/>
  </w:num>
  <w:num w:numId="45">
    <w:abstractNumId w:val="35"/>
  </w:num>
  <w:num w:numId="46">
    <w:abstractNumId w:val="45"/>
  </w:num>
  <w:num w:numId="47">
    <w:abstractNumId w:val="47"/>
  </w:num>
  <w:num w:numId="48">
    <w:abstractNumId w:val="25"/>
  </w:num>
  <w:num w:numId="49">
    <w:abstractNumId w:val="15"/>
  </w:num>
  <w:num w:numId="50">
    <w:abstractNumId w:val="16"/>
  </w:num>
  <w:num w:numId="51">
    <w:abstractNumId w:val="59"/>
  </w:num>
  <w:num w:numId="52">
    <w:abstractNumId w:val="5"/>
  </w:num>
  <w:num w:numId="53">
    <w:abstractNumId w:val="4"/>
  </w:num>
  <w:num w:numId="54">
    <w:abstractNumId w:val="66"/>
  </w:num>
  <w:num w:numId="55">
    <w:abstractNumId w:val="65"/>
  </w:num>
  <w:num w:numId="56">
    <w:abstractNumId w:val="64"/>
  </w:num>
  <w:num w:numId="5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4"/>
  </w:num>
  <w:num w:numId="59">
    <w:abstractNumId w:val="50"/>
  </w:num>
  <w:num w:numId="60">
    <w:abstractNumId w:val="21"/>
  </w:num>
  <w:num w:numId="61">
    <w:abstractNumId w:val="19"/>
  </w:num>
  <w:num w:numId="62">
    <w:abstractNumId w:val="49"/>
  </w:num>
  <w:num w:numId="63">
    <w:abstractNumId w:val="58"/>
  </w:num>
  <w:num w:numId="64">
    <w:abstractNumId w:val="58"/>
  </w:num>
  <w:num w:numId="65">
    <w:abstractNumId w:val="58"/>
  </w:num>
  <w:num w:numId="66">
    <w:abstractNumId w:val="58"/>
  </w:num>
  <w:num w:numId="67">
    <w:abstractNumId w:val="58"/>
  </w:num>
  <w:num w:numId="68">
    <w:abstractNumId w:val="31"/>
  </w:num>
  <w:num w:numId="69">
    <w:abstractNumId w:val="49"/>
  </w:num>
  <w:num w:numId="70">
    <w:abstractNumId w:val="3"/>
  </w:num>
  <w:num w:numId="71">
    <w:abstractNumId w:val="61"/>
  </w:num>
  <w:num w:numId="72">
    <w:abstractNumId w:val="34"/>
  </w:num>
  <w:num w:numId="73">
    <w:abstractNumId w:val="22"/>
  </w:num>
  <w:num w:numId="74">
    <w:abstractNumId w:val="2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EC"/>
    <w:rsid w:val="0000099A"/>
    <w:rsid w:val="000033D7"/>
    <w:rsid w:val="0002066C"/>
    <w:rsid w:val="00091703"/>
    <w:rsid w:val="00151C70"/>
    <w:rsid w:val="0016168C"/>
    <w:rsid w:val="00174C65"/>
    <w:rsid w:val="00217EDF"/>
    <w:rsid w:val="00236569"/>
    <w:rsid w:val="00240CFE"/>
    <w:rsid w:val="003974AB"/>
    <w:rsid w:val="003A3112"/>
    <w:rsid w:val="004E056F"/>
    <w:rsid w:val="005324D7"/>
    <w:rsid w:val="00543E06"/>
    <w:rsid w:val="00651142"/>
    <w:rsid w:val="006D162C"/>
    <w:rsid w:val="00746DF4"/>
    <w:rsid w:val="00753CB2"/>
    <w:rsid w:val="00807F2C"/>
    <w:rsid w:val="00813EF0"/>
    <w:rsid w:val="00822835"/>
    <w:rsid w:val="00844DC0"/>
    <w:rsid w:val="008B1870"/>
    <w:rsid w:val="008B6038"/>
    <w:rsid w:val="008D5F17"/>
    <w:rsid w:val="00924068"/>
    <w:rsid w:val="0094182C"/>
    <w:rsid w:val="009B1F84"/>
    <w:rsid w:val="009F522C"/>
    <w:rsid w:val="00A1431C"/>
    <w:rsid w:val="00A60A9F"/>
    <w:rsid w:val="00A63BF9"/>
    <w:rsid w:val="00A72095"/>
    <w:rsid w:val="00A77684"/>
    <w:rsid w:val="00AE5953"/>
    <w:rsid w:val="00B12D24"/>
    <w:rsid w:val="00B700CD"/>
    <w:rsid w:val="00B727CC"/>
    <w:rsid w:val="00BC4F43"/>
    <w:rsid w:val="00C562F7"/>
    <w:rsid w:val="00C802EC"/>
    <w:rsid w:val="00DE1615"/>
    <w:rsid w:val="00E71B36"/>
    <w:rsid w:val="00E735D1"/>
    <w:rsid w:val="00EB5519"/>
    <w:rsid w:val="00EE0AEB"/>
    <w:rsid w:val="00EE0D54"/>
    <w:rsid w:val="00F84B57"/>
    <w:rsid w:val="00F92A82"/>
    <w:rsid w:val="00FB7108"/>
    <w:rsid w:val="00FC371B"/>
    <w:rsid w:val="00FC676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60651D0"/>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2"/>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2"/>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2"/>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2"/>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2"/>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2"/>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2"/>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2"/>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2"/>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1"/>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1"/>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1"/>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1"/>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1"/>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1"/>
      </w:numPr>
      <w:outlineLvl w:val="5"/>
    </w:pPr>
  </w:style>
  <w:style w:type="paragraph" w:customStyle="1" w:styleId="Bullet1">
    <w:name w:val="Bullet 1"/>
    <w:basedOn w:val="Body"/>
    <w:qFormat/>
    <w:pPr>
      <w:numPr>
        <w:numId w:val="2"/>
      </w:numPr>
      <w:outlineLvl w:val="0"/>
    </w:pPr>
  </w:style>
  <w:style w:type="paragraph" w:customStyle="1" w:styleId="Bullet2">
    <w:name w:val="Bullet 2"/>
    <w:basedOn w:val="Body"/>
    <w:qFormat/>
    <w:pPr>
      <w:numPr>
        <w:ilvl w:val="1"/>
        <w:numId w:val="2"/>
      </w:numPr>
      <w:outlineLvl w:val="1"/>
    </w:pPr>
  </w:style>
  <w:style w:type="paragraph" w:customStyle="1" w:styleId="Bullet3">
    <w:name w:val="Bullet 3"/>
    <w:basedOn w:val="Body"/>
    <w:qFormat/>
    <w:pPr>
      <w:numPr>
        <w:ilvl w:val="2"/>
        <w:numId w:val="2"/>
      </w:numPr>
      <w:outlineLvl w:val="2"/>
    </w:pPr>
  </w:style>
  <w:style w:type="paragraph" w:customStyle="1" w:styleId="Bullet4">
    <w:name w:val="Bullet 4"/>
    <w:basedOn w:val="Body"/>
    <w:uiPriority w:val="99"/>
    <w:pPr>
      <w:numPr>
        <w:ilvl w:val="3"/>
        <w:numId w:val="2"/>
      </w:numPr>
      <w:outlineLvl w:val="3"/>
    </w:pPr>
  </w:style>
  <w:style w:type="paragraph" w:customStyle="1" w:styleId="Appendix">
    <w:name w:val="Appendix #"/>
    <w:basedOn w:val="Body"/>
    <w:next w:val="SubHeading"/>
    <w:uiPriority w:val="99"/>
    <w:pPr>
      <w:keepNext/>
      <w:keepLines/>
      <w:numPr>
        <w:ilvl w:val="1"/>
        <w:numId w:val="4"/>
      </w:numPr>
      <w:jc w:val="center"/>
    </w:pPr>
    <w:rPr>
      <w:b/>
      <w:bCs/>
    </w:rPr>
  </w:style>
  <w:style w:type="paragraph" w:customStyle="1" w:styleId="MainHeading">
    <w:name w:val="Main Heading"/>
    <w:basedOn w:val="Body"/>
    <w:uiPriority w:val="99"/>
    <w:pPr>
      <w:keepNext/>
      <w:keepLines/>
      <w:numPr>
        <w:numId w:val="3"/>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4"/>
      </w:numPr>
      <w:jc w:val="center"/>
    </w:pPr>
  </w:style>
  <w:style w:type="paragraph" w:customStyle="1" w:styleId="Schedule">
    <w:name w:val="Schedule #"/>
    <w:basedOn w:val="Body"/>
    <w:next w:val="SubHeading"/>
    <w:uiPriority w:val="99"/>
    <w:pPr>
      <w:keepNext/>
      <w:keepLines/>
      <w:numPr>
        <w:numId w:val="4"/>
      </w:numPr>
      <w:jc w:val="center"/>
    </w:pPr>
    <w:rPr>
      <w:b/>
      <w:bCs/>
    </w:rPr>
  </w:style>
  <w:style w:type="paragraph" w:customStyle="1" w:styleId="SubHeading">
    <w:name w:val="Sub Heading"/>
    <w:basedOn w:val="Body"/>
    <w:next w:val="Body"/>
    <w:uiPriority w:val="99"/>
    <w:pPr>
      <w:keepNext/>
      <w:keepLines/>
      <w:numPr>
        <w:numId w:val="5"/>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6"/>
      </w:numPr>
      <w:spacing w:before="200"/>
    </w:pPr>
    <w:rPr>
      <w:b/>
      <w:caps/>
    </w:rPr>
  </w:style>
  <w:style w:type="paragraph" w:customStyle="1" w:styleId="ScheduleHeading2">
    <w:name w:val="Schedule Heading 2"/>
    <w:basedOn w:val="BodyText"/>
    <w:next w:val="BodyText"/>
    <w:pPr>
      <w:keepNext/>
      <w:numPr>
        <w:ilvl w:val="1"/>
        <w:numId w:val="6"/>
      </w:numPr>
    </w:pPr>
    <w:rPr>
      <w:b/>
    </w:rPr>
  </w:style>
  <w:style w:type="paragraph" w:customStyle="1" w:styleId="ScheduleHeading3">
    <w:name w:val="Schedule Heading 3"/>
    <w:basedOn w:val="BodyText"/>
    <w:next w:val="BodyText"/>
    <w:pPr>
      <w:numPr>
        <w:ilvl w:val="2"/>
        <w:numId w:val="6"/>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6"/>
      </w:numPr>
      <w:tabs>
        <w:tab w:val="clear" w:pos="709"/>
        <w:tab w:val="clear" w:pos="1559"/>
      </w:tabs>
    </w:pPr>
  </w:style>
  <w:style w:type="paragraph" w:customStyle="1" w:styleId="ScheduleHeading5">
    <w:name w:val="Schedule Heading 5"/>
    <w:basedOn w:val="BodyText"/>
    <w:next w:val="BodyText"/>
    <w:pPr>
      <w:numPr>
        <w:ilvl w:val="4"/>
        <w:numId w:val="6"/>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6"/>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6"/>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8"/>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8"/>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3"/>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49"/>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0"/>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1"/>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591A82-25A7-F34F-879E-16CFC7004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646</Words>
  <Characters>3687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Peter Hanlon</dc:creator>
  <cp:keywords> </cp:keywords>
  <dc:description> </dc:description>
  <cp:lastModifiedBy>Microsoft Office User</cp:lastModifiedBy>
  <cp:revision>2</cp:revision>
  <dcterms:created xsi:type="dcterms:W3CDTF">2021-10-26T14:25:00Z</dcterms:created>
  <dcterms:modified xsi:type="dcterms:W3CDTF">2021-10-26T14:25:00Z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ies>
</file>